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Microsoft Yahei" w:cs="Microsoft Yahei" w:eastAsia="Microsoft Yahei" w:hAnsi="Microsoft Yahe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CRONOGRAMA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ABRIL 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4° BÁSICO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(2° Bloque).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Música: percusión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(13:00 - 13:45 hrs).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08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Taller socioemocional 4° bloque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Matemática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1er Seminario Triple P - 18:00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Trabajo de ciencias naturales y arte.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Accidentes volcánicas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  <w:t xml:space="preserve">FERIADO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Formación: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“Semana de la Convivencia Escolar (22 - 25 abril)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Lenguaje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Matemática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Ed. Física: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Circuito de patrones motores combinados.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de lectura complementaria “Seguiremos siendo amigos”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Construcción  y exposición  de cubo literario.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 y Tecnología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enviará comunicación informativa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9kgzr7c09lyl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Efeméride #2: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“Día del Libro y la Literatura”.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jjo3np2vt00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Trabajo de historia y arte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wszb5fbpxdu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climas y paisajes de Chile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Entrega de calendario de evaluaciones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zgBrX9o/oEniGSDEPpSzKGVQg==">CgMxLjAyDmguOWtnenI3YzA5bHlsMg1oLmpqbzNucDJ2dDAwMg1oLndzemI1ZmJweGR1OAByITFHT3ZSS0tRcDBxVkxBSHJRd29nNl9OMVZPV1JFbzBtTQ==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2025-03-25T13:00:00Z</dcterms:created>
  <dc:creator>Hewlett Packard</dc:creator>
</cp:coreProperties>
</file>